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D39" w:rsidRPr="00550D39" w:rsidRDefault="00550D39" w:rsidP="00550D39">
      <w:pPr>
        <w:spacing w:before="120"/>
        <w:jc w:val="center"/>
        <w:rPr>
          <w:b/>
          <w:color w:val="000000"/>
          <w:sz w:val="26"/>
          <w:szCs w:val="26"/>
          <w:lang w:val="sv-SE"/>
        </w:rPr>
      </w:pPr>
      <w:r w:rsidRPr="00550D39">
        <w:rPr>
          <w:b/>
          <w:color w:val="000000"/>
          <w:sz w:val="26"/>
          <w:szCs w:val="26"/>
          <w:lang w:val="sv-SE"/>
        </w:rPr>
        <w:t>DỰ</w:t>
      </w:r>
      <w:r w:rsidR="006B3365">
        <w:rPr>
          <w:b/>
          <w:color w:val="000000"/>
          <w:sz w:val="26"/>
          <w:szCs w:val="26"/>
          <w:lang w:val="sv-SE"/>
        </w:rPr>
        <w:t xml:space="preserve"> </w:t>
      </w:r>
      <w:r w:rsidRPr="00550D39">
        <w:rPr>
          <w:b/>
          <w:color w:val="000000"/>
          <w:sz w:val="26"/>
          <w:szCs w:val="26"/>
          <w:lang w:val="sv-SE"/>
        </w:rPr>
        <w:t xml:space="preserve">KIẾN CHỈNH LÝ CÁC QUY ĐỊNH VỀ </w:t>
      </w:r>
      <w:r w:rsidR="00E61D2D">
        <w:rPr>
          <w:b/>
          <w:color w:val="000000"/>
          <w:sz w:val="26"/>
          <w:szCs w:val="26"/>
          <w:lang w:val="sv-SE"/>
        </w:rPr>
        <w:t xml:space="preserve">CHÍNH SÁCH </w:t>
      </w:r>
      <w:r w:rsidRPr="00550D39">
        <w:rPr>
          <w:b/>
          <w:color w:val="000000"/>
          <w:sz w:val="26"/>
          <w:szCs w:val="26"/>
          <w:lang w:val="sv-SE"/>
        </w:rPr>
        <w:t>ĐẤT ĐAI</w:t>
      </w:r>
    </w:p>
    <w:p w:rsidR="00550D39" w:rsidRDefault="00550D39" w:rsidP="00550D39">
      <w:pPr>
        <w:spacing w:before="120"/>
        <w:jc w:val="both"/>
        <w:rPr>
          <w:color w:val="000000"/>
          <w:sz w:val="18"/>
          <w:szCs w:val="18"/>
          <w:lang w:val="sv-SE"/>
        </w:rPr>
      </w:pPr>
    </w:p>
    <w:p w:rsidR="00550D39" w:rsidRPr="00E91D35" w:rsidRDefault="00550D39" w:rsidP="008A231E">
      <w:pPr>
        <w:pStyle w:val="Heading2"/>
        <w:ind w:left="0" w:firstLine="720"/>
        <w:rPr>
          <w:spacing w:val="-2"/>
          <w:szCs w:val="28"/>
          <w:lang w:val="sv-SE"/>
        </w:rPr>
      </w:pPr>
      <w:r w:rsidRPr="00E91D35">
        <w:rPr>
          <w:spacing w:val="-2"/>
          <w:szCs w:val="28"/>
          <w:lang w:val="nl-NL"/>
        </w:rPr>
        <w:t xml:space="preserve">Điều 17. Quyền và nghĩa vụ về sử dụng đất tại </w:t>
      </w:r>
      <w:r w:rsidRPr="00E91D35">
        <w:rPr>
          <w:spacing w:val="-2"/>
          <w:szCs w:val="28"/>
          <w:lang w:val="sv-SE"/>
        </w:rPr>
        <w:t xml:space="preserve">đơn vị hành chính - kinh tế đặc biệt </w:t>
      </w:r>
    </w:p>
    <w:p w:rsidR="00550D39" w:rsidRPr="00E91D35" w:rsidRDefault="00550D39" w:rsidP="008A231E">
      <w:pPr>
        <w:spacing w:before="120" w:after="120"/>
        <w:ind w:firstLine="720"/>
        <w:jc w:val="both"/>
        <w:rPr>
          <w:spacing w:val="-2"/>
          <w:sz w:val="28"/>
          <w:szCs w:val="28"/>
          <w:lang w:val="sv-SE"/>
        </w:rPr>
      </w:pPr>
      <w:r w:rsidRPr="00E91D35">
        <w:rPr>
          <w:spacing w:val="-2"/>
          <w:sz w:val="28"/>
          <w:szCs w:val="28"/>
          <w:lang w:val="sv-SE"/>
        </w:rPr>
        <w:t xml:space="preserve">1. Doanh nghiệp có vốn đầu tư nước ngoài theo quy định của Luật đất đai thuê đất, thuê lại đất, được Nhà nước giao đất có thu tiền sử dụng đất để thực hiện dự án tại đơn vị hành chính - kinh tế đặc biệt có quyền và nghĩa vụ quy định tại Điều 174 và Điều 175 của Luật </w:t>
      </w:r>
      <w:r w:rsidR="00B0180F">
        <w:rPr>
          <w:spacing w:val="-2"/>
          <w:sz w:val="28"/>
          <w:szCs w:val="28"/>
          <w:lang w:val="sv-SE"/>
        </w:rPr>
        <w:t>Đ</w:t>
      </w:r>
      <w:r w:rsidRPr="00E91D35">
        <w:rPr>
          <w:spacing w:val="-2"/>
          <w:sz w:val="28"/>
          <w:szCs w:val="28"/>
          <w:lang w:val="sv-SE"/>
        </w:rPr>
        <w:t xml:space="preserve">ất đai tương ứng với hình thức sử dụng đất. </w:t>
      </w:r>
    </w:p>
    <w:p w:rsidR="00550D39" w:rsidRPr="00E91D35" w:rsidRDefault="00550D39" w:rsidP="008A231E">
      <w:pPr>
        <w:spacing w:before="120" w:after="120"/>
        <w:ind w:firstLine="720"/>
        <w:jc w:val="both"/>
        <w:rPr>
          <w:noProof/>
          <w:color w:val="000000"/>
          <w:sz w:val="28"/>
          <w:szCs w:val="28"/>
          <w:lang w:val="sv-SE" w:eastAsia="ja-JP"/>
        </w:rPr>
      </w:pPr>
      <w:r w:rsidRPr="00E91D35">
        <w:rPr>
          <w:color w:val="000000"/>
          <w:sz w:val="28"/>
          <w:szCs w:val="28"/>
          <w:lang w:val="sv-SE"/>
        </w:rPr>
        <w:t xml:space="preserve">2. Thời hạn sử dụng đất để sản xuất, kinh doanh trong </w:t>
      </w:r>
      <w:r w:rsidRPr="00E91D35">
        <w:rPr>
          <w:noProof/>
          <w:color w:val="000000"/>
          <w:sz w:val="28"/>
          <w:szCs w:val="28"/>
          <w:lang w:val="sv-SE" w:eastAsia="ja-JP"/>
        </w:rPr>
        <w:t xml:space="preserve">đơn vị hành chính - kinh tế đặc biệt </w:t>
      </w:r>
      <w:r w:rsidR="000F4BDA" w:rsidRPr="00E91D35">
        <w:rPr>
          <w:noProof/>
          <w:color w:val="000000"/>
          <w:sz w:val="28"/>
          <w:szCs w:val="28"/>
          <w:lang w:val="sv-SE" w:eastAsia="ja-JP"/>
        </w:rPr>
        <w:t>không quá 70 năm</w:t>
      </w:r>
      <w:r w:rsidR="00D6747D">
        <w:rPr>
          <w:noProof/>
          <w:color w:val="000000"/>
          <w:sz w:val="28"/>
          <w:szCs w:val="28"/>
          <w:lang w:val="sv-SE" w:eastAsia="ja-JP"/>
        </w:rPr>
        <w:t xml:space="preserve"> </w:t>
      </w:r>
      <w:r w:rsidR="006D4190" w:rsidRPr="00E91D35">
        <w:rPr>
          <w:noProof/>
          <w:color w:val="000000"/>
          <w:sz w:val="28"/>
          <w:szCs w:val="28"/>
          <w:lang w:val="sv-SE" w:eastAsia="ja-JP"/>
        </w:rPr>
        <w:t xml:space="preserve">do </w:t>
      </w:r>
      <w:r w:rsidR="000F4BDA" w:rsidRPr="00E91D35">
        <w:rPr>
          <w:sz w:val="28"/>
          <w:szCs w:val="28"/>
          <w:lang w:val="sv-SE"/>
        </w:rPr>
        <w:t xml:space="preserve">Trưởng Đơn vị hành chính - kinh tế đặc biệt </w:t>
      </w:r>
      <w:r w:rsidR="000F4BDA" w:rsidRPr="00E91D35">
        <w:rPr>
          <w:spacing w:val="-2"/>
          <w:sz w:val="28"/>
          <w:szCs w:val="28"/>
        </w:rPr>
        <w:t xml:space="preserve">(đối với phương án 1) </w:t>
      </w:r>
      <w:r w:rsidR="00863FC0">
        <w:rPr>
          <w:spacing w:val="-2"/>
          <w:sz w:val="28"/>
          <w:szCs w:val="28"/>
        </w:rPr>
        <w:t>[</w:t>
      </w:r>
      <w:r w:rsidR="000F4BDA" w:rsidRPr="00E91D35">
        <w:rPr>
          <w:spacing w:val="-2"/>
          <w:sz w:val="28"/>
          <w:szCs w:val="28"/>
        </w:rPr>
        <w:t xml:space="preserve">hoặc Chủ tịch Ủy ban </w:t>
      </w:r>
      <w:r w:rsidR="00D6747D">
        <w:rPr>
          <w:spacing w:val="-2"/>
          <w:sz w:val="28"/>
          <w:szCs w:val="28"/>
        </w:rPr>
        <w:t>đặc khu</w:t>
      </w:r>
      <w:r w:rsidR="000F4BDA" w:rsidRPr="00E91D35">
        <w:rPr>
          <w:spacing w:val="-2"/>
          <w:sz w:val="28"/>
          <w:szCs w:val="28"/>
        </w:rPr>
        <w:t xml:space="preserve"> (đối với phương án </w:t>
      </w:r>
      <w:r w:rsidR="00863FC0">
        <w:rPr>
          <w:spacing w:val="-2"/>
          <w:sz w:val="28"/>
          <w:szCs w:val="28"/>
        </w:rPr>
        <w:t>3</w:t>
      </w:r>
      <w:r w:rsidR="000F4BDA" w:rsidRPr="00E91D35">
        <w:rPr>
          <w:spacing w:val="-2"/>
          <w:sz w:val="28"/>
          <w:szCs w:val="28"/>
        </w:rPr>
        <w:t>)</w:t>
      </w:r>
      <w:r w:rsidR="00863FC0">
        <w:rPr>
          <w:spacing w:val="-2"/>
          <w:sz w:val="28"/>
          <w:szCs w:val="28"/>
        </w:rPr>
        <w:t>]</w:t>
      </w:r>
      <w:r w:rsidR="000F4BDA" w:rsidRPr="00E91D35">
        <w:rPr>
          <w:spacing w:val="-2"/>
          <w:sz w:val="28"/>
          <w:szCs w:val="28"/>
        </w:rPr>
        <w:t xml:space="preserve"> quyết định </w:t>
      </w:r>
      <w:r w:rsidRPr="00E91D35">
        <w:rPr>
          <w:b/>
          <w:i/>
          <w:noProof/>
          <w:color w:val="000000"/>
          <w:sz w:val="28"/>
          <w:szCs w:val="28"/>
          <w:lang w:val="sv-SE" w:eastAsia="ja-JP"/>
        </w:rPr>
        <w:t>căn cứ vào quy mô, tính chất của dự án đầu tư</w:t>
      </w:r>
      <w:r w:rsidR="000F4BDA" w:rsidRPr="00E91D35">
        <w:rPr>
          <w:b/>
          <w:i/>
          <w:noProof/>
          <w:color w:val="000000"/>
          <w:sz w:val="28"/>
          <w:szCs w:val="28"/>
          <w:lang w:val="sv-SE" w:eastAsia="ja-JP"/>
        </w:rPr>
        <w:t xml:space="preserve"> và đề nghị của nhà đầu tư</w:t>
      </w:r>
      <w:r w:rsidRPr="00E91D35">
        <w:rPr>
          <w:noProof/>
          <w:color w:val="000000"/>
          <w:sz w:val="28"/>
          <w:szCs w:val="28"/>
          <w:lang w:val="sv-SE" w:eastAsia="ja-JP"/>
        </w:rPr>
        <w:t>.</w:t>
      </w:r>
    </w:p>
    <w:p w:rsidR="00550D39" w:rsidRPr="00E91D35" w:rsidRDefault="00550D39" w:rsidP="008A231E">
      <w:pPr>
        <w:spacing w:before="120" w:after="120"/>
        <w:ind w:firstLine="720"/>
        <w:jc w:val="both"/>
        <w:rPr>
          <w:sz w:val="28"/>
          <w:szCs w:val="28"/>
          <w:lang w:val="sv-SE"/>
        </w:rPr>
      </w:pPr>
      <w:r w:rsidRPr="00E91D35">
        <w:rPr>
          <w:sz w:val="28"/>
          <w:szCs w:val="28"/>
          <w:lang w:val="sv-SE"/>
        </w:rPr>
        <w:t>3. Căn cứ quy mô, tính chất của dự án đầu tư</w:t>
      </w:r>
      <w:r w:rsidR="000F4BDA" w:rsidRPr="00E91D35">
        <w:rPr>
          <w:sz w:val="28"/>
          <w:szCs w:val="28"/>
          <w:lang w:val="sv-SE"/>
        </w:rPr>
        <w:t xml:space="preserve"> và đề nghị của nhà đầu tư</w:t>
      </w:r>
      <w:r w:rsidRPr="00E91D35">
        <w:rPr>
          <w:sz w:val="28"/>
          <w:szCs w:val="28"/>
          <w:lang w:val="sv-SE"/>
        </w:rPr>
        <w:t xml:space="preserve">, Trưởng Đơn vị hành chính - kinh tế đặc biệt </w:t>
      </w:r>
      <w:r w:rsidRPr="00E91D35">
        <w:rPr>
          <w:spacing w:val="-2"/>
          <w:sz w:val="28"/>
          <w:szCs w:val="28"/>
        </w:rPr>
        <w:t xml:space="preserve">(đối với phương án 1) </w:t>
      </w:r>
      <w:r w:rsidR="00863FC0">
        <w:rPr>
          <w:spacing w:val="-2"/>
          <w:sz w:val="28"/>
          <w:szCs w:val="28"/>
        </w:rPr>
        <w:t>[</w:t>
      </w:r>
      <w:r w:rsidRPr="00E91D35">
        <w:rPr>
          <w:spacing w:val="-2"/>
          <w:sz w:val="28"/>
          <w:szCs w:val="28"/>
        </w:rPr>
        <w:t xml:space="preserve">hoặc </w:t>
      </w:r>
      <w:r w:rsidR="00D6747D">
        <w:rPr>
          <w:spacing w:val="-2"/>
          <w:sz w:val="28"/>
          <w:szCs w:val="28"/>
        </w:rPr>
        <w:t>Chủ tịch Ủy ban đặc khu</w:t>
      </w:r>
      <w:r w:rsidRPr="00E91D35">
        <w:rPr>
          <w:spacing w:val="-2"/>
          <w:sz w:val="28"/>
          <w:szCs w:val="28"/>
        </w:rPr>
        <w:t xml:space="preserve"> (đối với phương án </w:t>
      </w:r>
      <w:r w:rsidR="00863FC0">
        <w:rPr>
          <w:spacing w:val="-2"/>
          <w:sz w:val="28"/>
          <w:szCs w:val="28"/>
        </w:rPr>
        <w:t>3</w:t>
      </w:r>
      <w:r w:rsidRPr="00E91D35">
        <w:rPr>
          <w:spacing w:val="-2"/>
          <w:sz w:val="28"/>
          <w:szCs w:val="28"/>
        </w:rPr>
        <w:t>)</w:t>
      </w:r>
      <w:r w:rsidR="00863FC0">
        <w:rPr>
          <w:spacing w:val="-2"/>
          <w:sz w:val="28"/>
          <w:szCs w:val="28"/>
        </w:rPr>
        <w:t>]</w:t>
      </w:r>
      <w:r w:rsidR="00D6747D">
        <w:rPr>
          <w:spacing w:val="-2"/>
          <w:sz w:val="28"/>
          <w:szCs w:val="28"/>
        </w:rPr>
        <w:t xml:space="preserve"> </w:t>
      </w:r>
      <w:r w:rsidRPr="00E91D35">
        <w:rPr>
          <w:sz w:val="28"/>
          <w:szCs w:val="28"/>
          <w:lang w:val="sv-SE"/>
        </w:rPr>
        <w:t>báo cáo Thủ tướng Chính phủ quyết định thời hạn sử dụng đất để sản xuất, kinh doanh trên 70 năm, nhưng không quá 99 năm đối với dự án đầu tư bao gồm:</w:t>
      </w:r>
    </w:p>
    <w:p w:rsidR="00550D39" w:rsidRPr="00E91D35" w:rsidRDefault="00550D39" w:rsidP="008A231E">
      <w:pPr>
        <w:spacing w:before="120" w:after="120"/>
        <w:ind w:firstLine="720"/>
        <w:jc w:val="both"/>
        <w:rPr>
          <w:bCs/>
          <w:iCs/>
          <w:sz w:val="28"/>
          <w:szCs w:val="28"/>
          <w:lang w:val="sv-SE" w:eastAsia="fr-FR"/>
        </w:rPr>
      </w:pPr>
      <w:r w:rsidRPr="00E91D35">
        <w:rPr>
          <w:sz w:val="28"/>
          <w:szCs w:val="28"/>
          <w:lang w:val="sv-SE"/>
        </w:rPr>
        <w:t xml:space="preserve">a) </w:t>
      </w:r>
      <w:r w:rsidRPr="00E91D35">
        <w:rPr>
          <w:bCs/>
          <w:iCs/>
          <w:spacing w:val="-4"/>
          <w:sz w:val="28"/>
          <w:szCs w:val="28"/>
          <w:lang w:val="vi-VN" w:eastAsia="fr-FR"/>
        </w:rPr>
        <w:t>Khu hỗ trợ khởi nghiệp sáng tạo, trung tâm nghiên cứu và phát triển</w:t>
      </w:r>
      <w:r w:rsidRPr="00E91D35">
        <w:rPr>
          <w:bCs/>
          <w:iCs/>
          <w:sz w:val="28"/>
          <w:szCs w:val="28"/>
          <w:lang w:val="sv-SE" w:eastAsia="fr-FR"/>
        </w:rPr>
        <w:t>,</w:t>
      </w:r>
      <w:r w:rsidR="00863FC0">
        <w:rPr>
          <w:bCs/>
          <w:iCs/>
          <w:sz w:val="28"/>
          <w:szCs w:val="28"/>
          <w:lang w:val="sv-SE" w:eastAsia="fr-FR"/>
        </w:rPr>
        <w:t xml:space="preserve"> </w:t>
      </w:r>
      <w:r w:rsidRPr="00E91D35">
        <w:rPr>
          <w:bCs/>
          <w:iCs/>
          <w:spacing w:val="-4"/>
          <w:sz w:val="28"/>
          <w:szCs w:val="28"/>
          <w:lang w:val="vi-VN" w:eastAsia="fr-FR"/>
        </w:rPr>
        <w:t>y tế, giáo dục</w:t>
      </w:r>
      <w:r w:rsidRPr="00E91D35">
        <w:rPr>
          <w:bCs/>
          <w:iCs/>
          <w:spacing w:val="-4"/>
          <w:sz w:val="28"/>
          <w:szCs w:val="28"/>
          <w:lang w:eastAsia="fr-FR"/>
        </w:rPr>
        <w:t xml:space="preserve"> - đào tạo </w:t>
      </w:r>
      <w:r w:rsidRPr="00E91D35">
        <w:rPr>
          <w:bCs/>
          <w:iCs/>
          <w:spacing w:val="-4"/>
          <w:sz w:val="28"/>
          <w:szCs w:val="28"/>
          <w:lang w:val="vi-VN" w:eastAsia="fr-FR"/>
        </w:rPr>
        <w:t>t</w:t>
      </w:r>
      <w:r w:rsidRPr="00E91D35">
        <w:rPr>
          <w:bCs/>
          <w:iCs/>
          <w:spacing w:val="-4"/>
          <w:sz w:val="28"/>
          <w:szCs w:val="28"/>
          <w:lang w:val="sv-SE" w:eastAsia="fr-FR"/>
        </w:rPr>
        <w:t>ại</w:t>
      </w:r>
      <w:r w:rsidR="00D6747D">
        <w:rPr>
          <w:bCs/>
          <w:iCs/>
          <w:spacing w:val="-4"/>
          <w:sz w:val="28"/>
          <w:szCs w:val="28"/>
          <w:lang w:val="sv-SE" w:eastAsia="fr-FR"/>
        </w:rPr>
        <w:t xml:space="preserve"> </w:t>
      </w:r>
      <w:r w:rsidRPr="00E91D35">
        <w:rPr>
          <w:bCs/>
          <w:iCs/>
          <w:spacing w:val="-4"/>
          <w:sz w:val="28"/>
          <w:szCs w:val="28"/>
          <w:lang w:val="sv-SE" w:eastAsia="fr-FR"/>
        </w:rPr>
        <w:t>đơn vị hành chính - kinh tế đặc biệt</w:t>
      </w:r>
      <w:r w:rsidRPr="00E91D35">
        <w:rPr>
          <w:bCs/>
          <w:iCs/>
          <w:spacing w:val="-4"/>
          <w:sz w:val="28"/>
          <w:szCs w:val="28"/>
          <w:lang w:eastAsia="fr-FR"/>
        </w:rPr>
        <w:t>;</w:t>
      </w:r>
    </w:p>
    <w:p w:rsidR="008A17DA" w:rsidRPr="00E91D35" w:rsidRDefault="00550D39" w:rsidP="008A231E">
      <w:pPr>
        <w:spacing w:before="120" w:after="120"/>
        <w:ind w:firstLine="720"/>
        <w:jc w:val="both"/>
        <w:rPr>
          <w:bCs/>
          <w:iCs/>
          <w:sz w:val="28"/>
          <w:szCs w:val="28"/>
          <w:lang w:eastAsia="fr-FR"/>
        </w:rPr>
      </w:pPr>
      <w:r w:rsidRPr="00E91D35">
        <w:rPr>
          <w:bCs/>
          <w:iCs/>
          <w:sz w:val="28"/>
          <w:szCs w:val="28"/>
          <w:lang w:eastAsia="fr-FR"/>
        </w:rPr>
        <w:t>b)</w:t>
      </w:r>
      <w:r w:rsidRPr="00E91D35">
        <w:rPr>
          <w:bCs/>
          <w:iCs/>
          <w:sz w:val="28"/>
          <w:szCs w:val="28"/>
          <w:lang w:val="vi-VN" w:eastAsia="fr-FR"/>
        </w:rPr>
        <w:t xml:space="preserve"> Đáp ứng </w:t>
      </w:r>
      <w:r w:rsidRPr="00E91D35">
        <w:rPr>
          <w:bCs/>
          <w:iCs/>
          <w:sz w:val="28"/>
          <w:szCs w:val="28"/>
          <w:lang w:eastAsia="fr-FR"/>
        </w:rPr>
        <w:t xml:space="preserve">một trong những </w:t>
      </w:r>
      <w:r w:rsidRPr="00E91D35">
        <w:rPr>
          <w:bCs/>
          <w:iCs/>
          <w:sz w:val="28"/>
          <w:szCs w:val="28"/>
          <w:lang w:val="vi-VN" w:eastAsia="fr-FR"/>
        </w:rPr>
        <w:t>điều kiện quy định tại khoản 3 Điều 3 của Luật này.</w:t>
      </w:r>
    </w:p>
    <w:p w:rsidR="00BE0AFA" w:rsidRPr="00E91D35" w:rsidRDefault="00BE0AFA" w:rsidP="008A231E">
      <w:pPr>
        <w:spacing w:before="120" w:after="120"/>
        <w:ind w:firstLine="720"/>
        <w:jc w:val="both"/>
        <w:rPr>
          <w:sz w:val="28"/>
          <w:szCs w:val="28"/>
        </w:rPr>
      </w:pPr>
      <w:r w:rsidRPr="00E91D35">
        <w:rPr>
          <w:bCs/>
          <w:iCs/>
          <w:sz w:val="28"/>
          <w:szCs w:val="28"/>
          <w:lang w:eastAsia="fr-FR"/>
        </w:rPr>
        <w:t xml:space="preserve">4. </w:t>
      </w:r>
      <w:r w:rsidRPr="00E91D35">
        <w:rPr>
          <w:sz w:val="28"/>
          <w:szCs w:val="28"/>
          <w:lang w:val="sv-SE"/>
        </w:rPr>
        <w:t xml:space="preserve">Tổ chức kinh tế, doanh nghiệp có vốn đầu tư nước ngoài theo quy định của Luật </w:t>
      </w:r>
      <w:r w:rsidR="00A27AA4">
        <w:rPr>
          <w:sz w:val="28"/>
          <w:szCs w:val="28"/>
          <w:lang w:val="sv-SE"/>
        </w:rPr>
        <w:t>Đ</w:t>
      </w:r>
      <w:r w:rsidRPr="00E91D35">
        <w:rPr>
          <w:sz w:val="28"/>
          <w:szCs w:val="28"/>
          <w:lang w:val="sv-SE"/>
        </w:rPr>
        <w:t xml:space="preserve">ất đai </w:t>
      </w:r>
      <w:r w:rsidRPr="00E91D35">
        <w:rPr>
          <w:sz w:val="28"/>
          <w:szCs w:val="28"/>
          <w:lang w:val="vi-VN"/>
        </w:rPr>
        <w:t xml:space="preserve">được thế chấp tài sản gắn liền với đất tại đơn vị hành chính - kinh tế đặc biệt tại tổ chức tín dụng nước ngoài </w:t>
      </w:r>
      <w:r w:rsidRPr="00E91D35">
        <w:rPr>
          <w:sz w:val="28"/>
          <w:szCs w:val="28"/>
        </w:rPr>
        <w:t xml:space="preserve">có hiện diện thương mại tại Việt Nam </w:t>
      </w:r>
      <w:r w:rsidRPr="00E91D35">
        <w:rPr>
          <w:sz w:val="28"/>
          <w:szCs w:val="28"/>
          <w:lang w:val="vi-VN"/>
        </w:rPr>
        <w:t>để vay vốn đầu tư</w:t>
      </w:r>
      <w:r w:rsidRPr="00E91D35">
        <w:rPr>
          <w:sz w:val="28"/>
          <w:szCs w:val="28"/>
        </w:rPr>
        <w:t xml:space="preserve">. </w:t>
      </w:r>
    </w:p>
    <w:p w:rsidR="00BE0AFA" w:rsidRPr="00E91D35" w:rsidRDefault="00BE0AFA" w:rsidP="008A231E">
      <w:pPr>
        <w:spacing w:before="120" w:after="120"/>
        <w:ind w:firstLine="720"/>
        <w:jc w:val="both"/>
        <w:rPr>
          <w:sz w:val="28"/>
          <w:szCs w:val="28"/>
        </w:rPr>
      </w:pPr>
      <w:r w:rsidRPr="00E91D35">
        <w:rPr>
          <w:b/>
          <w:i/>
          <w:sz w:val="28"/>
          <w:szCs w:val="28"/>
        </w:rPr>
        <w:t xml:space="preserve">Trường hợp </w:t>
      </w:r>
      <w:r w:rsidRPr="00E91D35">
        <w:rPr>
          <w:b/>
          <w:i/>
          <w:color w:val="000000"/>
          <w:sz w:val="28"/>
          <w:szCs w:val="28"/>
          <w:lang w:val="vi-VN"/>
        </w:rPr>
        <w:t>xử lý tài sản thế chấp, bên nhận thế chấp chỉ được chuyển nhượng tài sản gắn liền với đất cho các đối tượng được phép nhận chuyển nhượng theo quy định của pháp luật</w:t>
      </w:r>
      <w:r w:rsidR="006B3365">
        <w:rPr>
          <w:b/>
          <w:i/>
          <w:color w:val="000000"/>
          <w:sz w:val="28"/>
          <w:szCs w:val="28"/>
        </w:rPr>
        <w:t xml:space="preserve"> </w:t>
      </w:r>
      <w:bookmarkStart w:id="0" w:name="_GoBack"/>
      <w:bookmarkEnd w:id="0"/>
      <w:r w:rsidRPr="00E91D35">
        <w:rPr>
          <w:b/>
          <w:i/>
          <w:color w:val="000000"/>
          <w:sz w:val="28"/>
          <w:szCs w:val="28"/>
          <w:lang w:val="vi-VN"/>
        </w:rPr>
        <w:t>Việt Nam</w:t>
      </w:r>
      <w:r w:rsidRPr="00E91D35">
        <w:rPr>
          <w:sz w:val="28"/>
          <w:szCs w:val="28"/>
          <w:lang w:val="vi-VN"/>
        </w:rPr>
        <w:t>.</w:t>
      </w:r>
    </w:p>
    <w:p w:rsidR="00863FC0" w:rsidRPr="00863FC0" w:rsidRDefault="00863FC0" w:rsidP="00863FC0">
      <w:pPr>
        <w:spacing w:after="120"/>
        <w:ind w:firstLine="720"/>
        <w:jc w:val="both"/>
        <w:rPr>
          <w:sz w:val="28"/>
          <w:szCs w:val="28"/>
          <w:lang w:val="vi-VN"/>
        </w:rPr>
      </w:pPr>
      <w:r w:rsidRPr="00863FC0">
        <w:rPr>
          <w:sz w:val="28"/>
          <w:szCs w:val="28"/>
        </w:rPr>
        <w:t>5</w:t>
      </w:r>
      <w:r w:rsidRPr="00863FC0">
        <w:rPr>
          <w:sz w:val="28"/>
          <w:szCs w:val="28"/>
          <w:lang w:val="vi-VN"/>
        </w:rPr>
        <w:t xml:space="preserve">. </w:t>
      </w:r>
      <w:bookmarkStart w:id="1" w:name="_Hlk484006518"/>
      <w:r w:rsidRPr="00863FC0">
        <w:rPr>
          <w:sz w:val="28"/>
          <w:szCs w:val="28"/>
          <w:lang w:val="vi-VN"/>
        </w:rPr>
        <w:t>Tổ chức</w:t>
      </w:r>
      <w:r w:rsidRPr="00863FC0">
        <w:rPr>
          <w:sz w:val="28"/>
          <w:szCs w:val="28"/>
        </w:rPr>
        <w:t xml:space="preserve"> và</w:t>
      </w:r>
      <w:r w:rsidRPr="00863FC0">
        <w:rPr>
          <w:sz w:val="28"/>
          <w:szCs w:val="28"/>
          <w:lang w:val="vi-VN"/>
        </w:rPr>
        <w:t xml:space="preserve"> cá nhân nước ngoài </w:t>
      </w:r>
      <w:r w:rsidRPr="00863FC0">
        <w:rPr>
          <w:sz w:val="28"/>
          <w:szCs w:val="28"/>
        </w:rPr>
        <w:t xml:space="preserve">thuộc đối tượng </w:t>
      </w:r>
      <w:r w:rsidRPr="00863FC0">
        <w:rPr>
          <w:sz w:val="28"/>
          <w:szCs w:val="28"/>
          <w:lang w:val="vi-VN"/>
        </w:rPr>
        <w:t xml:space="preserve">được sở hữu nhà ở tại Việt Nam </w:t>
      </w:r>
      <w:r w:rsidRPr="00863FC0">
        <w:rPr>
          <w:sz w:val="28"/>
          <w:szCs w:val="28"/>
        </w:rPr>
        <w:t xml:space="preserve">theo pháp luật về nhà ở </w:t>
      </w:r>
      <w:r w:rsidRPr="00863FC0">
        <w:rPr>
          <w:sz w:val="28"/>
          <w:szCs w:val="28"/>
          <w:lang w:val="vi-VN"/>
        </w:rPr>
        <w:t xml:space="preserve">có quyền chuyển nhượng, nhận chuyển nhượng, mua, thuê mua, nhận tặng cho, nhận thừa kế </w:t>
      </w:r>
      <w:r w:rsidRPr="00863FC0">
        <w:rPr>
          <w:sz w:val="28"/>
          <w:szCs w:val="28"/>
        </w:rPr>
        <w:t xml:space="preserve">và sở hữu </w:t>
      </w:r>
      <w:r w:rsidRPr="00863FC0">
        <w:rPr>
          <w:sz w:val="28"/>
          <w:szCs w:val="28"/>
          <w:lang w:val="vi-VN"/>
        </w:rPr>
        <w:t xml:space="preserve">nhà ở thương mại, bao gồm </w:t>
      </w:r>
      <w:r w:rsidRPr="00863FC0">
        <w:rPr>
          <w:sz w:val="28"/>
          <w:szCs w:val="28"/>
        </w:rPr>
        <w:t xml:space="preserve">căn hộ </w:t>
      </w:r>
      <w:r w:rsidRPr="00863FC0">
        <w:rPr>
          <w:sz w:val="28"/>
          <w:szCs w:val="28"/>
          <w:lang w:val="vi-VN"/>
        </w:rPr>
        <w:t xml:space="preserve">chung cư và </w:t>
      </w:r>
      <w:r w:rsidRPr="00863FC0">
        <w:rPr>
          <w:sz w:val="28"/>
          <w:szCs w:val="28"/>
        </w:rPr>
        <w:t xml:space="preserve">nhà ở </w:t>
      </w:r>
      <w:r w:rsidRPr="00863FC0">
        <w:rPr>
          <w:sz w:val="28"/>
          <w:szCs w:val="28"/>
          <w:lang w:val="vi-VN"/>
        </w:rPr>
        <w:t xml:space="preserve">riêng lẻ trong dự án đầu tư xây dựng nhà ở và dự án </w:t>
      </w:r>
      <w:r w:rsidRPr="00863FC0">
        <w:rPr>
          <w:sz w:val="28"/>
          <w:szCs w:val="28"/>
        </w:rPr>
        <w:t xml:space="preserve">đầu tư </w:t>
      </w:r>
      <w:r w:rsidRPr="00863FC0">
        <w:rPr>
          <w:sz w:val="28"/>
          <w:szCs w:val="28"/>
          <w:lang w:val="vi-VN"/>
        </w:rPr>
        <w:t>bất động sản nghỉ dưỡng</w:t>
      </w:r>
      <w:r w:rsidRPr="00863FC0">
        <w:rPr>
          <w:sz w:val="28"/>
          <w:szCs w:val="28"/>
        </w:rPr>
        <w:t xml:space="preserve">, du lịch </w:t>
      </w:r>
      <w:r w:rsidRPr="00863FC0">
        <w:rPr>
          <w:sz w:val="28"/>
          <w:szCs w:val="28"/>
          <w:lang w:val="vi-VN"/>
        </w:rPr>
        <w:t xml:space="preserve">tại </w:t>
      </w:r>
      <w:r w:rsidRPr="00863FC0">
        <w:rPr>
          <w:sz w:val="28"/>
          <w:szCs w:val="28"/>
          <w:lang w:val="sv-SE"/>
        </w:rPr>
        <w:t>đơn vị hành chính - kinh tế đặc biệt, trừ khu vực bảo đảm quốc phòng</w:t>
      </w:r>
      <w:bookmarkEnd w:id="1"/>
      <w:r w:rsidRPr="00863FC0">
        <w:rPr>
          <w:sz w:val="28"/>
          <w:szCs w:val="28"/>
          <w:lang w:val="sv-SE"/>
        </w:rPr>
        <w:t>, an ninh</w:t>
      </w:r>
      <w:r w:rsidRPr="00863FC0">
        <w:rPr>
          <w:sz w:val="28"/>
          <w:szCs w:val="28"/>
          <w:lang w:val="vi-VN"/>
        </w:rPr>
        <w:t xml:space="preserve">. </w:t>
      </w:r>
    </w:p>
    <w:p w:rsidR="00863FC0" w:rsidRPr="00863FC0" w:rsidRDefault="00863FC0" w:rsidP="00863FC0">
      <w:pPr>
        <w:spacing w:before="120" w:after="120"/>
        <w:ind w:firstLine="720"/>
        <w:jc w:val="both"/>
        <w:rPr>
          <w:sz w:val="28"/>
          <w:szCs w:val="28"/>
        </w:rPr>
      </w:pPr>
      <w:r w:rsidRPr="00863FC0">
        <w:rPr>
          <w:sz w:val="28"/>
          <w:szCs w:val="28"/>
        </w:rPr>
        <w:t xml:space="preserve">6. </w:t>
      </w:r>
      <w:r w:rsidRPr="00863FC0">
        <w:rPr>
          <w:sz w:val="28"/>
          <w:szCs w:val="28"/>
          <w:lang w:val="vi-VN"/>
        </w:rPr>
        <w:t xml:space="preserve">Quyền của chủ sở hữu nhà ở </w:t>
      </w:r>
      <w:r w:rsidRPr="00863FC0">
        <w:rPr>
          <w:sz w:val="28"/>
          <w:szCs w:val="28"/>
        </w:rPr>
        <w:t>là</w:t>
      </w:r>
      <w:r w:rsidRPr="00863FC0">
        <w:rPr>
          <w:sz w:val="28"/>
          <w:szCs w:val="28"/>
          <w:lang w:val="vi-VN"/>
        </w:rPr>
        <w:t xml:space="preserve"> tổ chức</w:t>
      </w:r>
      <w:r w:rsidRPr="00863FC0">
        <w:rPr>
          <w:sz w:val="28"/>
          <w:szCs w:val="28"/>
        </w:rPr>
        <w:t xml:space="preserve"> và</w:t>
      </w:r>
      <w:r w:rsidRPr="00863FC0">
        <w:rPr>
          <w:sz w:val="28"/>
          <w:szCs w:val="28"/>
          <w:lang w:val="vi-VN"/>
        </w:rPr>
        <w:t xml:space="preserve"> cá nhân nước ngoài thực hiện theo quy định của pháp luật nhà ở và theo quy định tại Luật này.</w:t>
      </w:r>
    </w:p>
    <w:p w:rsidR="008A231E" w:rsidRDefault="00863FC0" w:rsidP="00863FC0">
      <w:pPr>
        <w:spacing w:before="120" w:after="120"/>
        <w:ind w:firstLine="720"/>
        <w:jc w:val="both"/>
        <w:rPr>
          <w:sz w:val="28"/>
          <w:szCs w:val="28"/>
          <w:lang w:val="sv-SE"/>
        </w:rPr>
      </w:pPr>
      <w:r>
        <w:rPr>
          <w:sz w:val="28"/>
          <w:szCs w:val="28"/>
          <w:lang w:val="sv-SE"/>
        </w:rPr>
        <w:lastRenderedPageBreak/>
        <w:t>7</w:t>
      </w:r>
      <w:r w:rsidR="00BE0AFA" w:rsidRPr="00E91D35">
        <w:rPr>
          <w:sz w:val="28"/>
          <w:szCs w:val="28"/>
          <w:lang w:val="sv-SE"/>
        </w:rPr>
        <w:t>. Việc sử dụng đất, chuyển quyền sử dụng đất tại đơn vị hành chính - kinh tế đặc biệt phải phù hợp với quy hoạch đơn vị hành chính - kinh tế đặc biệt.</w:t>
      </w:r>
    </w:p>
    <w:p w:rsidR="00BE0AFA" w:rsidRPr="00E91D35" w:rsidRDefault="00863FC0" w:rsidP="003D6DB1">
      <w:pPr>
        <w:spacing w:before="120" w:after="120"/>
        <w:ind w:firstLine="720"/>
        <w:jc w:val="both"/>
        <w:rPr>
          <w:sz w:val="28"/>
          <w:szCs w:val="28"/>
          <w:lang w:val="sv-SE"/>
        </w:rPr>
      </w:pPr>
      <w:r>
        <w:rPr>
          <w:sz w:val="28"/>
          <w:szCs w:val="28"/>
          <w:lang w:val="sv-SE"/>
        </w:rPr>
        <w:t>8</w:t>
      </w:r>
      <w:r w:rsidR="00BE0AFA" w:rsidRPr="00E91D35">
        <w:rPr>
          <w:sz w:val="28"/>
          <w:szCs w:val="28"/>
          <w:lang w:val="sv-SE"/>
        </w:rPr>
        <w:t>.</w:t>
      </w:r>
      <w:r w:rsidR="00BE0AFA" w:rsidRPr="00E91D35">
        <w:rPr>
          <w:b/>
          <w:i/>
          <w:sz w:val="28"/>
          <w:szCs w:val="28"/>
          <w:lang w:val="sv-SE"/>
        </w:rPr>
        <w:t xml:space="preserve"> Tranh chấp về đất đai tại đơn vị hành chính - kinh tế đặc biệt được giải quyết tại Tòa án nhân dân có thẩm quyền theo quy định của pháp luật về tố tụng dân sự và quy định tại Luật này</w:t>
      </w:r>
      <w:r w:rsidR="00BE0AFA" w:rsidRPr="00E91D35">
        <w:rPr>
          <w:sz w:val="28"/>
          <w:szCs w:val="28"/>
          <w:lang w:val="sv-SE"/>
        </w:rPr>
        <w:t>.</w:t>
      </w:r>
    </w:p>
    <w:p w:rsidR="00BE0AFA" w:rsidRPr="00E91D35" w:rsidRDefault="00863FC0" w:rsidP="003D6DB1">
      <w:pPr>
        <w:spacing w:before="120" w:after="120"/>
        <w:ind w:firstLine="720"/>
        <w:jc w:val="both"/>
        <w:rPr>
          <w:b/>
          <w:i/>
          <w:sz w:val="28"/>
          <w:szCs w:val="28"/>
          <w:lang w:val="sv-SE"/>
        </w:rPr>
      </w:pPr>
      <w:r>
        <w:rPr>
          <w:sz w:val="28"/>
          <w:szCs w:val="28"/>
          <w:lang w:val="sv-SE"/>
        </w:rPr>
        <w:t>9</w:t>
      </w:r>
      <w:r w:rsidR="00BE0AFA" w:rsidRPr="00E91D35">
        <w:rPr>
          <w:sz w:val="28"/>
          <w:szCs w:val="28"/>
          <w:lang w:val="sv-SE"/>
        </w:rPr>
        <w:t xml:space="preserve">. </w:t>
      </w:r>
      <w:r w:rsidR="00BE0AFA" w:rsidRPr="00E91D35">
        <w:rPr>
          <w:b/>
          <w:i/>
          <w:sz w:val="28"/>
          <w:szCs w:val="28"/>
          <w:lang w:val="sv-SE"/>
        </w:rPr>
        <w:t>Trưởng đơn vị hành chính – kinh tế đặc biệt</w:t>
      </w:r>
      <w:r w:rsidR="005E0101" w:rsidRPr="00E91D35">
        <w:rPr>
          <w:b/>
          <w:i/>
          <w:sz w:val="28"/>
          <w:szCs w:val="28"/>
          <w:lang w:val="sv-SE"/>
        </w:rPr>
        <w:t xml:space="preserve"> </w:t>
      </w:r>
      <w:r w:rsidR="003D6DB1" w:rsidRPr="00E91D35">
        <w:rPr>
          <w:spacing w:val="-2"/>
          <w:sz w:val="28"/>
          <w:szCs w:val="28"/>
        </w:rPr>
        <w:t xml:space="preserve">(đối với phương án 1) </w:t>
      </w:r>
      <w:r>
        <w:rPr>
          <w:spacing w:val="-2"/>
          <w:sz w:val="28"/>
          <w:szCs w:val="28"/>
        </w:rPr>
        <w:t>[</w:t>
      </w:r>
      <w:r w:rsidR="003D6DB1" w:rsidRPr="00E91D35">
        <w:rPr>
          <w:spacing w:val="-2"/>
          <w:sz w:val="28"/>
          <w:szCs w:val="28"/>
        </w:rPr>
        <w:t xml:space="preserve">hoặc Chủ tịch Ủy ban </w:t>
      </w:r>
      <w:r w:rsidR="003D6DB1">
        <w:rPr>
          <w:spacing w:val="-2"/>
          <w:sz w:val="28"/>
          <w:szCs w:val="28"/>
        </w:rPr>
        <w:t>đặc khu</w:t>
      </w:r>
      <w:r w:rsidR="003D6DB1" w:rsidRPr="00E91D35">
        <w:rPr>
          <w:spacing w:val="-2"/>
          <w:sz w:val="28"/>
          <w:szCs w:val="28"/>
        </w:rPr>
        <w:t xml:space="preserve"> (đối với phương án </w:t>
      </w:r>
      <w:r>
        <w:rPr>
          <w:spacing w:val="-2"/>
          <w:sz w:val="28"/>
          <w:szCs w:val="28"/>
        </w:rPr>
        <w:t>3</w:t>
      </w:r>
      <w:r w:rsidR="003D6DB1" w:rsidRPr="00E91D35">
        <w:rPr>
          <w:spacing w:val="-2"/>
          <w:sz w:val="28"/>
          <w:szCs w:val="28"/>
        </w:rPr>
        <w:t>)</w:t>
      </w:r>
      <w:r>
        <w:rPr>
          <w:spacing w:val="-2"/>
          <w:sz w:val="28"/>
          <w:szCs w:val="28"/>
        </w:rPr>
        <w:t>]</w:t>
      </w:r>
      <w:r w:rsidR="003D6DB1" w:rsidRPr="00E91D35">
        <w:rPr>
          <w:spacing w:val="-2"/>
          <w:sz w:val="28"/>
          <w:szCs w:val="28"/>
        </w:rPr>
        <w:t xml:space="preserve"> </w:t>
      </w:r>
      <w:r w:rsidR="005E0101" w:rsidRPr="00E91D35">
        <w:rPr>
          <w:b/>
          <w:i/>
          <w:sz w:val="28"/>
          <w:szCs w:val="28"/>
          <w:lang w:val="sv-SE"/>
        </w:rPr>
        <w:t xml:space="preserve">quyết định thu hồi đất </w:t>
      </w:r>
      <w:r w:rsidR="00BE0AFA" w:rsidRPr="00E91D35">
        <w:rPr>
          <w:b/>
          <w:i/>
          <w:sz w:val="28"/>
          <w:szCs w:val="28"/>
          <w:lang w:val="sv-SE"/>
        </w:rPr>
        <w:t xml:space="preserve">để thực hiện các dự án phát triển  kinh tế - xã hội vì lợi ích quốc gia, công cộng quy định tại </w:t>
      </w:r>
      <w:r w:rsidR="005E0101" w:rsidRPr="00E91D35">
        <w:rPr>
          <w:b/>
          <w:i/>
          <w:sz w:val="28"/>
          <w:szCs w:val="28"/>
          <w:lang w:val="sv-SE"/>
        </w:rPr>
        <w:t xml:space="preserve">Luật Đất đai, tại </w:t>
      </w:r>
      <w:r w:rsidR="00BE0AFA" w:rsidRPr="00E91D35">
        <w:rPr>
          <w:b/>
          <w:i/>
          <w:sz w:val="28"/>
          <w:szCs w:val="28"/>
          <w:lang w:val="sv-SE"/>
        </w:rPr>
        <w:t>khoản 3 Điều 3 Luật này</w:t>
      </w:r>
      <w:r w:rsidR="005E0101" w:rsidRPr="00E91D35">
        <w:rPr>
          <w:b/>
          <w:i/>
          <w:sz w:val="28"/>
          <w:szCs w:val="28"/>
          <w:lang w:val="sv-SE"/>
        </w:rPr>
        <w:t xml:space="preserve"> và các dự án khác do Trưởng đơn vị hành chính - kinh tế đặc biệt </w:t>
      </w:r>
      <w:r w:rsidR="003D6DB1" w:rsidRPr="00E91D35">
        <w:rPr>
          <w:spacing w:val="-2"/>
          <w:sz w:val="28"/>
          <w:szCs w:val="28"/>
        </w:rPr>
        <w:t xml:space="preserve">(đối với phương án 1) </w:t>
      </w:r>
      <w:r>
        <w:rPr>
          <w:spacing w:val="-2"/>
          <w:sz w:val="28"/>
          <w:szCs w:val="28"/>
        </w:rPr>
        <w:t>[</w:t>
      </w:r>
      <w:r w:rsidR="003D6DB1" w:rsidRPr="00E91D35">
        <w:rPr>
          <w:spacing w:val="-2"/>
          <w:sz w:val="28"/>
          <w:szCs w:val="28"/>
        </w:rPr>
        <w:t xml:space="preserve">hoặc Chủ tịch Ủy ban </w:t>
      </w:r>
      <w:r w:rsidR="003D6DB1">
        <w:rPr>
          <w:spacing w:val="-2"/>
          <w:sz w:val="28"/>
          <w:szCs w:val="28"/>
        </w:rPr>
        <w:t>đặc khu</w:t>
      </w:r>
      <w:r w:rsidR="003D6DB1" w:rsidRPr="00E91D35">
        <w:rPr>
          <w:spacing w:val="-2"/>
          <w:sz w:val="28"/>
          <w:szCs w:val="28"/>
        </w:rPr>
        <w:t xml:space="preserve"> (đối với phương án </w:t>
      </w:r>
      <w:r>
        <w:rPr>
          <w:spacing w:val="-2"/>
          <w:sz w:val="28"/>
          <w:szCs w:val="28"/>
        </w:rPr>
        <w:t>3</w:t>
      </w:r>
      <w:r w:rsidR="003D6DB1" w:rsidRPr="00E91D35">
        <w:rPr>
          <w:spacing w:val="-2"/>
          <w:sz w:val="28"/>
          <w:szCs w:val="28"/>
        </w:rPr>
        <w:t>)</w:t>
      </w:r>
      <w:r>
        <w:rPr>
          <w:spacing w:val="-2"/>
          <w:sz w:val="28"/>
          <w:szCs w:val="28"/>
        </w:rPr>
        <w:t>]</w:t>
      </w:r>
      <w:r w:rsidR="003D6DB1" w:rsidRPr="00E91D35">
        <w:rPr>
          <w:spacing w:val="-2"/>
          <w:sz w:val="28"/>
          <w:szCs w:val="28"/>
        </w:rPr>
        <w:t xml:space="preserve"> </w:t>
      </w:r>
      <w:r w:rsidR="005E0101" w:rsidRPr="00E91D35">
        <w:rPr>
          <w:b/>
          <w:i/>
          <w:sz w:val="28"/>
          <w:szCs w:val="28"/>
          <w:lang w:val="sv-SE"/>
        </w:rPr>
        <w:t>quyết định chủ trương đầu tư hoặc quyết định đầu tư</w:t>
      </w:r>
      <w:r w:rsidR="00BE0AFA" w:rsidRPr="00E91D35">
        <w:rPr>
          <w:b/>
          <w:i/>
          <w:sz w:val="28"/>
          <w:szCs w:val="28"/>
          <w:lang w:val="sv-SE"/>
        </w:rPr>
        <w:t>.</w:t>
      </w:r>
    </w:p>
    <w:p w:rsidR="00BE0AFA" w:rsidRPr="00E91D35" w:rsidRDefault="00BE0AFA" w:rsidP="004A2B29">
      <w:pPr>
        <w:pStyle w:val="Heading2"/>
        <w:spacing w:before="360"/>
        <w:ind w:left="0" w:firstLine="720"/>
        <w:jc w:val="left"/>
        <w:rPr>
          <w:szCs w:val="28"/>
          <w:lang w:val="vi-VN"/>
        </w:rPr>
      </w:pPr>
      <w:r w:rsidRPr="00E91D35">
        <w:rPr>
          <w:szCs w:val="28"/>
          <w:lang w:val="vi-VN"/>
        </w:rPr>
        <w:t xml:space="preserve">Điều </w:t>
      </w:r>
      <w:r w:rsidRPr="00E91D35">
        <w:rPr>
          <w:szCs w:val="28"/>
          <w:lang w:val="sv-SE"/>
        </w:rPr>
        <w:t>28</w:t>
      </w:r>
      <w:r w:rsidRPr="00E91D35">
        <w:rPr>
          <w:szCs w:val="28"/>
          <w:lang w:val="vi-VN"/>
        </w:rPr>
        <w:t xml:space="preserve">. </w:t>
      </w:r>
      <w:bookmarkStart w:id="2" w:name="_Hlk491348471"/>
      <w:r w:rsidRPr="00E91D35">
        <w:rPr>
          <w:szCs w:val="28"/>
          <w:lang w:val="sv-SE"/>
        </w:rPr>
        <w:t xml:space="preserve">Miễn tiền thuê đất, thuê mặt nước </w:t>
      </w:r>
      <w:bookmarkEnd w:id="2"/>
      <w:r w:rsidRPr="00E91D35">
        <w:rPr>
          <w:szCs w:val="28"/>
          <w:lang w:val="sv-SE"/>
        </w:rPr>
        <w:t>và thuế sử dụng đất phi nông nghiệp</w:t>
      </w:r>
    </w:p>
    <w:p w:rsidR="00BE0AFA" w:rsidRPr="00E91D35" w:rsidRDefault="00BE0AFA" w:rsidP="000F4BDA">
      <w:pPr>
        <w:spacing w:before="120" w:after="120"/>
        <w:ind w:firstLine="720"/>
        <w:jc w:val="both"/>
        <w:rPr>
          <w:sz w:val="28"/>
          <w:szCs w:val="28"/>
          <w:lang w:val="sv-SE"/>
        </w:rPr>
      </w:pPr>
      <w:r w:rsidRPr="00E91D35">
        <w:rPr>
          <w:sz w:val="28"/>
          <w:szCs w:val="28"/>
          <w:lang w:val="sv-SE"/>
        </w:rPr>
        <w:t>1. Miễn tiền thuê đất, thuê mặt nước đối với dự án đầu tư tại đơn vị hành chính - kinh tế đặc biệt:</w:t>
      </w:r>
    </w:p>
    <w:p w:rsidR="00BE0AFA" w:rsidRPr="00E91D35" w:rsidRDefault="00BE0AFA" w:rsidP="000F4BDA">
      <w:pPr>
        <w:spacing w:before="120" w:after="120"/>
        <w:ind w:firstLine="720"/>
        <w:jc w:val="both"/>
        <w:rPr>
          <w:bCs/>
          <w:iCs/>
          <w:sz w:val="28"/>
          <w:szCs w:val="28"/>
          <w:lang w:eastAsia="fr-FR"/>
        </w:rPr>
      </w:pPr>
      <w:r w:rsidRPr="00E91D35">
        <w:rPr>
          <w:sz w:val="28"/>
          <w:szCs w:val="28"/>
          <w:lang w:val="sv-SE"/>
        </w:rPr>
        <w:t xml:space="preserve">a) Miễn tiền thuê đất, thuê mặt nước </w:t>
      </w:r>
      <w:r w:rsidR="008B5756" w:rsidRPr="00E91D35">
        <w:rPr>
          <w:sz w:val="28"/>
          <w:szCs w:val="28"/>
          <w:lang w:val="sv-SE"/>
        </w:rPr>
        <w:t xml:space="preserve">đến </w:t>
      </w:r>
      <w:r w:rsidR="00701655" w:rsidRPr="00E91D35">
        <w:rPr>
          <w:sz w:val="28"/>
          <w:szCs w:val="28"/>
          <w:lang w:val="sv-SE"/>
        </w:rPr>
        <w:t>toàn bộ th</w:t>
      </w:r>
      <w:r w:rsidRPr="00E91D35">
        <w:rPr>
          <w:sz w:val="28"/>
          <w:szCs w:val="28"/>
          <w:lang w:val="sv-SE"/>
        </w:rPr>
        <w:t xml:space="preserve">ời gian thuê </w:t>
      </w:r>
      <w:r w:rsidRPr="00E91D35">
        <w:rPr>
          <w:noProof/>
          <w:sz w:val="28"/>
          <w:szCs w:val="28"/>
          <w:lang w:val="sv-SE" w:eastAsia="ja-JP"/>
        </w:rPr>
        <w:t xml:space="preserve">đối với </w:t>
      </w:r>
      <w:r w:rsidRPr="00E91D35">
        <w:rPr>
          <w:bCs/>
          <w:iCs/>
          <w:spacing w:val="-4"/>
          <w:sz w:val="28"/>
          <w:szCs w:val="28"/>
          <w:lang w:val="sv-SE" w:eastAsia="fr-FR"/>
        </w:rPr>
        <w:t>dự án</w:t>
      </w:r>
      <w:r w:rsidR="00863FC0">
        <w:rPr>
          <w:bCs/>
          <w:iCs/>
          <w:spacing w:val="-4"/>
          <w:sz w:val="28"/>
          <w:szCs w:val="28"/>
          <w:lang w:val="sv-SE" w:eastAsia="fr-FR"/>
        </w:rPr>
        <w:t xml:space="preserve"> </w:t>
      </w:r>
      <w:r w:rsidRPr="00E91D35">
        <w:rPr>
          <w:bCs/>
          <w:iCs/>
          <w:spacing w:val="-4"/>
          <w:sz w:val="28"/>
          <w:szCs w:val="28"/>
          <w:lang w:val="sv-SE" w:eastAsia="fr-FR"/>
        </w:rPr>
        <w:t>đầu tư</w:t>
      </w:r>
      <w:r w:rsidR="00863FC0">
        <w:rPr>
          <w:bCs/>
          <w:iCs/>
          <w:spacing w:val="-4"/>
          <w:sz w:val="28"/>
          <w:szCs w:val="28"/>
          <w:lang w:val="sv-SE" w:eastAsia="fr-FR"/>
        </w:rPr>
        <w:t xml:space="preserve"> </w:t>
      </w:r>
      <w:r w:rsidRPr="00E91D35">
        <w:rPr>
          <w:strike/>
          <w:sz w:val="28"/>
          <w:szCs w:val="28"/>
          <w:lang w:val="nl-NL"/>
        </w:rPr>
        <w:t>quy định tại khoản 3 Điều 3 và điểm a khoản 3 Điều 17 của Luật này và dự án đầu tư</w:t>
      </w:r>
      <w:r w:rsidRPr="00E91D35">
        <w:rPr>
          <w:sz w:val="28"/>
          <w:szCs w:val="28"/>
          <w:lang w:val="nl-NL"/>
        </w:rPr>
        <w:t xml:space="preserve"> thuộc lĩnh vực </w:t>
      </w:r>
      <w:r w:rsidRPr="00E91D35">
        <w:rPr>
          <w:sz w:val="28"/>
          <w:szCs w:val="28"/>
          <w:shd w:val="clear" w:color="auto" w:fill="FFFFFF"/>
        </w:rPr>
        <w:t xml:space="preserve">văn hóa, thể thao và môi trường phục vụ lợi ích công cộng </w:t>
      </w:r>
      <w:r w:rsidRPr="00E91D35">
        <w:rPr>
          <w:bCs/>
          <w:iCs/>
          <w:strike/>
          <w:spacing w:val="-4"/>
          <w:sz w:val="28"/>
          <w:szCs w:val="28"/>
          <w:lang w:val="vi-VN" w:eastAsia="fr-FR"/>
        </w:rPr>
        <w:t>t</w:t>
      </w:r>
      <w:r w:rsidRPr="00E91D35">
        <w:rPr>
          <w:bCs/>
          <w:iCs/>
          <w:strike/>
          <w:spacing w:val="-4"/>
          <w:sz w:val="28"/>
          <w:szCs w:val="28"/>
          <w:lang w:val="sv-SE" w:eastAsia="fr-FR"/>
        </w:rPr>
        <w:t>ạiđơn vị hành chính - kinh tế đặc biệt</w:t>
      </w:r>
      <w:r w:rsidRPr="00E91D35">
        <w:rPr>
          <w:bCs/>
          <w:iCs/>
          <w:strike/>
          <w:sz w:val="28"/>
          <w:szCs w:val="28"/>
          <w:lang w:val="vi-VN" w:eastAsia="fr-FR"/>
        </w:rPr>
        <w:t>Vân Đồn, Bắc Vân Phong và Phú Quốc</w:t>
      </w:r>
      <w:r w:rsidR="0001735B">
        <w:rPr>
          <w:bCs/>
          <w:iCs/>
          <w:strike/>
          <w:sz w:val="28"/>
          <w:szCs w:val="28"/>
          <w:lang w:eastAsia="fr-FR"/>
        </w:rPr>
        <w:t xml:space="preserve"> </w:t>
      </w:r>
      <w:r w:rsidRPr="00E91D35">
        <w:rPr>
          <w:b/>
          <w:bCs/>
          <w:i/>
          <w:iCs/>
          <w:sz w:val="28"/>
          <w:szCs w:val="28"/>
          <w:lang w:eastAsia="fr-FR"/>
        </w:rPr>
        <w:t xml:space="preserve">và dự án đầu tư quy định tại </w:t>
      </w:r>
      <w:r w:rsidRPr="00E91D35">
        <w:rPr>
          <w:b/>
          <w:i/>
          <w:sz w:val="28"/>
          <w:szCs w:val="28"/>
          <w:lang w:val="sv-SE"/>
        </w:rPr>
        <w:t>điểm a khoản 3 Điều 17 của Luật này</w:t>
      </w:r>
      <w:r w:rsidRPr="00E91D35">
        <w:rPr>
          <w:bCs/>
          <w:iCs/>
          <w:sz w:val="28"/>
          <w:szCs w:val="28"/>
          <w:lang w:val="vi-VN" w:eastAsia="fr-FR"/>
        </w:rPr>
        <w:t>.</w:t>
      </w:r>
    </w:p>
    <w:p w:rsidR="00BE0AFA" w:rsidRPr="00E91D35" w:rsidRDefault="00BE0AFA" w:rsidP="000F4BDA">
      <w:pPr>
        <w:spacing w:before="120" w:after="120"/>
        <w:ind w:firstLine="720"/>
        <w:jc w:val="both"/>
        <w:rPr>
          <w:b/>
          <w:bCs/>
          <w:i/>
          <w:iCs/>
          <w:sz w:val="28"/>
          <w:szCs w:val="28"/>
          <w:lang w:eastAsia="fr-FR"/>
        </w:rPr>
      </w:pPr>
      <w:r w:rsidRPr="00E91D35">
        <w:rPr>
          <w:b/>
          <w:bCs/>
          <w:i/>
          <w:iCs/>
          <w:sz w:val="28"/>
          <w:szCs w:val="28"/>
          <w:lang w:eastAsia="fr-FR"/>
        </w:rPr>
        <w:t xml:space="preserve">b) Miễn tiền thuê đất, thuê mặt nước </w:t>
      </w:r>
      <w:r w:rsidR="00701655" w:rsidRPr="00E91D35">
        <w:rPr>
          <w:b/>
          <w:bCs/>
          <w:i/>
          <w:iCs/>
          <w:sz w:val="28"/>
          <w:szCs w:val="28"/>
          <w:lang w:eastAsia="fr-FR"/>
        </w:rPr>
        <w:t xml:space="preserve">đến </w:t>
      </w:r>
      <w:r w:rsidRPr="00E91D35">
        <w:rPr>
          <w:b/>
          <w:bCs/>
          <w:i/>
          <w:iCs/>
          <w:sz w:val="28"/>
          <w:szCs w:val="28"/>
          <w:lang w:eastAsia="fr-FR"/>
        </w:rPr>
        <w:t>30 năm nhưng không quá một nửa thời hạn sử dụng đất của dự án đầu tư quy định tại khoản 3 Điều 3 của Luật này.</w:t>
      </w:r>
    </w:p>
    <w:p w:rsidR="00BE0AFA" w:rsidRPr="00E91D35" w:rsidRDefault="00BE0AFA" w:rsidP="000F4BDA">
      <w:pPr>
        <w:spacing w:before="120" w:after="120"/>
        <w:ind w:firstLine="720"/>
        <w:jc w:val="both"/>
        <w:rPr>
          <w:sz w:val="28"/>
          <w:szCs w:val="28"/>
          <w:lang w:val="sv-SE"/>
        </w:rPr>
      </w:pPr>
      <w:r w:rsidRPr="00E91D35">
        <w:rPr>
          <w:sz w:val="28"/>
          <w:szCs w:val="28"/>
          <w:lang w:val="sv-SE"/>
        </w:rPr>
        <w:t xml:space="preserve">c) </w:t>
      </w:r>
      <w:r w:rsidRPr="00E91D35">
        <w:rPr>
          <w:b/>
          <w:bCs/>
          <w:i/>
          <w:iCs/>
          <w:sz w:val="28"/>
          <w:szCs w:val="28"/>
          <w:lang w:eastAsia="fr-FR"/>
        </w:rPr>
        <w:t>Miễn tiền thuê đất, thuê mặt nước</w:t>
      </w:r>
      <w:r w:rsidR="00701655" w:rsidRPr="00E91D35">
        <w:rPr>
          <w:b/>
          <w:bCs/>
          <w:i/>
          <w:iCs/>
          <w:sz w:val="28"/>
          <w:szCs w:val="28"/>
          <w:lang w:eastAsia="fr-FR"/>
        </w:rPr>
        <w:t xml:space="preserve"> đến</w:t>
      </w:r>
      <w:r w:rsidRPr="00E91D35">
        <w:rPr>
          <w:b/>
          <w:bCs/>
          <w:i/>
          <w:iCs/>
          <w:sz w:val="28"/>
          <w:szCs w:val="28"/>
          <w:lang w:eastAsia="fr-FR"/>
        </w:rPr>
        <w:t xml:space="preserve"> 15 năm nhưng không quá một nửa thời hạn sử dụng đất</w:t>
      </w:r>
      <w:r w:rsidR="0001735B">
        <w:rPr>
          <w:b/>
          <w:bCs/>
          <w:i/>
          <w:iCs/>
          <w:sz w:val="28"/>
          <w:szCs w:val="28"/>
          <w:lang w:eastAsia="fr-FR"/>
        </w:rPr>
        <w:t xml:space="preserve"> </w:t>
      </w:r>
      <w:r w:rsidRPr="00E91D35">
        <w:rPr>
          <w:b/>
          <w:i/>
          <w:noProof/>
          <w:sz w:val="28"/>
          <w:szCs w:val="28"/>
          <w:lang w:val="sv-SE" w:eastAsia="ja-JP"/>
        </w:rPr>
        <w:t>của</w:t>
      </w:r>
      <w:r w:rsidR="0001735B">
        <w:rPr>
          <w:b/>
          <w:i/>
          <w:noProof/>
          <w:sz w:val="28"/>
          <w:szCs w:val="28"/>
          <w:lang w:val="sv-SE" w:eastAsia="ja-JP"/>
        </w:rPr>
        <w:t xml:space="preserve"> </w:t>
      </w:r>
      <w:r w:rsidRPr="00E91D35">
        <w:rPr>
          <w:bCs/>
          <w:iCs/>
          <w:spacing w:val="-4"/>
          <w:sz w:val="28"/>
          <w:szCs w:val="28"/>
          <w:lang w:val="sv-SE" w:eastAsia="fr-FR"/>
        </w:rPr>
        <w:t>dự án</w:t>
      </w:r>
      <w:r w:rsidR="0001735B">
        <w:rPr>
          <w:bCs/>
          <w:iCs/>
          <w:spacing w:val="-4"/>
          <w:sz w:val="28"/>
          <w:szCs w:val="28"/>
          <w:lang w:val="sv-SE" w:eastAsia="fr-FR"/>
        </w:rPr>
        <w:t xml:space="preserve"> </w:t>
      </w:r>
      <w:r w:rsidRPr="00E91D35">
        <w:rPr>
          <w:bCs/>
          <w:iCs/>
          <w:spacing w:val="-4"/>
          <w:sz w:val="28"/>
          <w:szCs w:val="28"/>
          <w:lang w:val="sv-SE" w:eastAsia="fr-FR"/>
        </w:rPr>
        <w:t>đầu tư khác ngoài dự</w:t>
      </w:r>
      <w:r w:rsidR="00701655" w:rsidRPr="00E91D35">
        <w:rPr>
          <w:bCs/>
          <w:iCs/>
          <w:spacing w:val="-4"/>
          <w:sz w:val="28"/>
          <w:szCs w:val="28"/>
          <w:lang w:val="sv-SE" w:eastAsia="fr-FR"/>
        </w:rPr>
        <w:t xml:space="preserve"> án đầu tư quy định tại điểm a và điểm </w:t>
      </w:r>
      <w:r w:rsidRPr="00E91D35">
        <w:rPr>
          <w:b/>
          <w:bCs/>
          <w:i/>
          <w:iCs/>
          <w:spacing w:val="-4"/>
          <w:sz w:val="28"/>
          <w:szCs w:val="28"/>
          <w:lang w:val="sv-SE" w:eastAsia="fr-FR"/>
        </w:rPr>
        <w:t>b</w:t>
      </w:r>
      <w:r w:rsidRPr="00E91D35">
        <w:rPr>
          <w:bCs/>
          <w:iCs/>
          <w:spacing w:val="-4"/>
          <w:sz w:val="28"/>
          <w:szCs w:val="28"/>
          <w:lang w:val="sv-SE" w:eastAsia="fr-FR"/>
        </w:rPr>
        <w:t xml:space="preserve"> khoản này, Điều 82, Điều 90 và Điều 98 của Luật này</w:t>
      </w:r>
      <w:r w:rsidRPr="00E91D35">
        <w:rPr>
          <w:sz w:val="28"/>
          <w:szCs w:val="28"/>
          <w:lang w:val="sv-SE"/>
        </w:rPr>
        <w:t>;</w:t>
      </w:r>
    </w:p>
    <w:p w:rsidR="00BE0AFA" w:rsidRPr="00E91D35" w:rsidRDefault="00BE0AFA" w:rsidP="000F4BDA">
      <w:pPr>
        <w:spacing w:before="120" w:after="120"/>
        <w:ind w:firstLine="720"/>
        <w:jc w:val="both"/>
        <w:rPr>
          <w:sz w:val="28"/>
          <w:szCs w:val="28"/>
          <w:lang w:val="sv-SE"/>
        </w:rPr>
      </w:pPr>
      <w:r w:rsidRPr="00E91D35">
        <w:rPr>
          <w:sz w:val="28"/>
          <w:szCs w:val="28"/>
          <w:lang w:val="sv-SE"/>
        </w:rPr>
        <w:t xml:space="preserve">d) Miễn tiền thuê đất, thuê mặt nước trong thời gian xây dựng cơ bản theo dự án được cấp có thẩm quyền phê duyệt nhưng tối đa không quá 36 tháng kể từ ngày có quyết định cho thuê đất, thuê mặt nước. </w:t>
      </w:r>
    </w:p>
    <w:p w:rsidR="00BE0AFA" w:rsidRPr="00E91D35" w:rsidRDefault="000F4BDA" w:rsidP="0001735B">
      <w:pPr>
        <w:spacing w:after="120"/>
        <w:ind w:firstLine="720"/>
        <w:jc w:val="both"/>
        <w:rPr>
          <w:sz w:val="28"/>
          <w:szCs w:val="28"/>
        </w:rPr>
      </w:pPr>
      <w:r w:rsidRPr="00E91D35">
        <w:rPr>
          <w:sz w:val="28"/>
          <w:szCs w:val="28"/>
          <w:lang w:val="sv-SE"/>
        </w:rPr>
        <w:t xml:space="preserve">2. </w:t>
      </w:r>
      <w:bookmarkStart w:id="3" w:name="_Hlk483582972"/>
      <w:r w:rsidRPr="00E91D35">
        <w:rPr>
          <w:bCs/>
          <w:iCs/>
          <w:sz w:val="28"/>
          <w:szCs w:val="28"/>
          <w:lang w:val="vi-VN" w:eastAsia="fr-FR"/>
        </w:rPr>
        <w:t xml:space="preserve">Miễn thuế sử dụng đất phi nông nghiệp đối với dự án đầu tư </w:t>
      </w:r>
      <w:r w:rsidRPr="00E91D35">
        <w:rPr>
          <w:bCs/>
          <w:iCs/>
          <w:sz w:val="28"/>
          <w:szCs w:val="28"/>
          <w:lang w:eastAsia="fr-FR"/>
        </w:rPr>
        <w:t>tại</w:t>
      </w:r>
      <w:r w:rsidR="0001735B">
        <w:rPr>
          <w:bCs/>
          <w:iCs/>
          <w:sz w:val="28"/>
          <w:szCs w:val="28"/>
          <w:lang w:eastAsia="fr-FR"/>
        </w:rPr>
        <w:t xml:space="preserve"> </w:t>
      </w:r>
      <w:r w:rsidRPr="00E91D35">
        <w:rPr>
          <w:bCs/>
          <w:iCs/>
          <w:sz w:val="28"/>
          <w:szCs w:val="28"/>
          <w:lang w:val="sv-SE" w:eastAsia="fr-FR"/>
        </w:rPr>
        <w:t>đơn vị hành chính - kinh tế đặc biệt</w:t>
      </w:r>
      <w:bookmarkEnd w:id="3"/>
      <w:r w:rsidRPr="00E91D35">
        <w:rPr>
          <w:bCs/>
          <w:iCs/>
          <w:sz w:val="28"/>
          <w:szCs w:val="28"/>
          <w:lang w:val="vi-VN" w:eastAsia="fr-FR"/>
        </w:rPr>
        <w:t>.</w:t>
      </w:r>
    </w:p>
    <w:sectPr w:rsidR="00BE0AFA" w:rsidRPr="00E91D35" w:rsidSect="004A2B29">
      <w:headerReference w:type="default" r:id="rId7"/>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980" w:rsidRDefault="00844980" w:rsidP="004A2B29">
      <w:r>
        <w:separator/>
      </w:r>
    </w:p>
  </w:endnote>
  <w:endnote w:type="continuationSeparator" w:id="0">
    <w:p w:rsidR="00844980" w:rsidRDefault="00844980" w:rsidP="004A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980" w:rsidRDefault="00844980" w:rsidP="004A2B29">
      <w:r>
        <w:separator/>
      </w:r>
    </w:p>
  </w:footnote>
  <w:footnote w:type="continuationSeparator" w:id="0">
    <w:p w:rsidR="00844980" w:rsidRDefault="00844980" w:rsidP="004A2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4207"/>
      <w:docPartObj>
        <w:docPartGallery w:val="Page Numbers (Top of Page)"/>
        <w:docPartUnique/>
      </w:docPartObj>
    </w:sdtPr>
    <w:sdtEndPr/>
    <w:sdtContent>
      <w:p w:rsidR="004A2B29" w:rsidRDefault="00844980">
        <w:pPr>
          <w:pStyle w:val="Header"/>
          <w:jc w:val="center"/>
        </w:pPr>
        <w:r>
          <w:fldChar w:fldCharType="begin"/>
        </w:r>
        <w:r>
          <w:instrText xml:space="preserve"> PAGE   \* MERGEFORMAT </w:instrText>
        </w:r>
        <w:r>
          <w:fldChar w:fldCharType="separate"/>
        </w:r>
        <w:r w:rsidR="006B3365">
          <w:rPr>
            <w:noProof/>
          </w:rPr>
          <w:t>2</w:t>
        </w:r>
        <w:r>
          <w:rPr>
            <w:noProof/>
          </w:rPr>
          <w:fldChar w:fldCharType="end"/>
        </w:r>
      </w:p>
    </w:sdtContent>
  </w:sdt>
  <w:p w:rsidR="004A2B29" w:rsidRDefault="004A2B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50D39"/>
    <w:rsid w:val="00013830"/>
    <w:rsid w:val="0001735B"/>
    <w:rsid w:val="00062034"/>
    <w:rsid w:val="000D1A6C"/>
    <w:rsid w:val="000F4BDA"/>
    <w:rsid w:val="00110E22"/>
    <w:rsid w:val="001374BA"/>
    <w:rsid w:val="001647E3"/>
    <w:rsid w:val="0026586D"/>
    <w:rsid w:val="003D6DB1"/>
    <w:rsid w:val="00461118"/>
    <w:rsid w:val="004A2B29"/>
    <w:rsid w:val="004A4207"/>
    <w:rsid w:val="00550D39"/>
    <w:rsid w:val="005E0101"/>
    <w:rsid w:val="00602B32"/>
    <w:rsid w:val="006B3365"/>
    <w:rsid w:val="006D4190"/>
    <w:rsid w:val="00701655"/>
    <w:rsid w:val="00786DCE"/>
    <w:rsid w:val="007C4E5D"/>
    <w:rsid w:val="008319FD"/>
    <w:rsid w:val="00844980"/>
    <w:rsid w:val="00863FC0"/>
    <w:rsid w:val="008A17DA"/>
    <w:rsid w:val="008A22A3"/>
    <w:rsid w:val="008A231E"/>
    <w:rsid w:val="008B5756"/>
    <w:rsid w:val="009F7707"/>
    <w:rsid w:val="00A27AA4"/>
    <w:rsid w:val="00AF6FD4"/>
    <w:rsid w:val="00B0180F"/>
    <w:rsid w:val="00BE0AFA"/>
    <w:rsid w:val="00D6747D"/>
    <w:rsid w:val="00D97828"/>
    <w:rsid w:val="00DF7B94"/>
    <w:rsid w:val="00E61D2D"/>
    <w:rsid w:val="00E91D35"/>
    <w:rsid w:val="00F22835"/>
    <w:rsid w:val="00F712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D3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550D39"/>
    <w:pPr>
      <w:keepNext/>
      <w:spacing w:before="120" w:after="120"/>
      <w:ind w:left="720"/>
      <w:jc w:val="both"/>
      <w:outlineLvl w:val="1"/>
    </w:pPr>
    <w:rPr>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50D39"/>
    <w:rPr>
      <w:rFonts w:ascii="Times New Roman" w:eastAsia="Times New Roman" w:hAnsi="Times New Roman" w:cs="Times New Roman"/>
      <w:b/>
      <w:iCs/>
      <w:sz w:val="28"/>
      <w:szCs w:val="24"/>
    </w:rPr>
  </w:style>
  <w:style w:type="paragraph" w:styleId="BalloonText">
    <w:name w:val="Balloon Text"/>
    <w:basedOn w:val="Normal"/>
    <w:link w:val="BalloonTextChar"/>
    <w:uiPriority w:val="99"/>
    <w:semiHidden/>
    <w:unhideWhenUsed/>
    <w:rsid w:val="00E91D35"/>
    <w:rPr>
      <w:rFonts w:ascii="Tahoma" w:hAnsi="Tahoma" w:cs="Tahoma"/>
      <w:sz w:val="16"/>
      <w:szCs w:val="16"/>
    </w:rPr>
  </w:style>
  <w:style w:type="character" w:customStyle="1" w:styleId="BalloonTextChar">
    <w:name w:val="Balloon Text Char"/>
    <w:basedOn w:val="DefaultParagraphFont"/>
    <w:link w:val="BalloonText"/>
    <w:uiPriority w:val="99"/>
    <w:semiHidden/>
    <w:rsid w:val="00E91D35"/>
    <w:rPr>
      <w:rFonts w:ascii="Tahoma" w:eastAsia="Times New Roman" w:hAnsi="Tahoma" w:cs="Tahoma"/>
      <w:sz w:val="16"/>
      <w:szCs w:val="16"/>
    </w:rPr>
  </w:style>
  <w:style w:type="paragraph" w:styleId="Header">
    <w:name w:val="header"/>
    <w:basedOn w:val="Normal"/>
    <w:link w:val="HeaderChar"/>
    <w:uiPriority w:val="99"/>
    <w:unhideWhenUsed/>
    <w:rsid w:val="004A2B29"/>
    <w:pPr>
      <w:tabs>
        <w:tab w:val="center" w:pos="4680"/>
        <w:tab w:val="right" w:pos="9360"/>
      </w:tabs>
    </w:pPr>
  </w:style>
  <w:style w:type="character" w:customStyle="1" w:styleId="HeaderChar">
    <w:name w:val="Header Char"/>
    <w:basedOn w:val="DefaultParagraphFont"/>
    <w:link w:val="Header"/>
    <w:uiPriority w:val="99"/>
    <w:rsid w:val="004A2B29"/>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A2B29"/>
    <w:pPr>
      <w:tabs>
        <w:tab w:val="center" w:pos="4680"/>
        <w:tab w:val="right" w:pos="9360"/>
      </w:tabs>
    </w:pPr>
  </w:style>
  <w:style w:type="character" w:customStyle="1" w:styleId="FooterChar">
    <w:name w:val="Footer Char"/>
    <w:basedOn w:val="DefaultParagraphFont"/>
    <w:link w:val="Footer"/>
    <w:uiPriority w:val="99"/>
    <w:semiHidden/>
    <w:rsid w:val="004A2B2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D3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550D39"/>
    <w:pPr>
      <w:keepNext/>
      <w:spacing w:before="120" w:after="120"/>
      <w:ind w:left="720"/>
      <w:jc w:val="both"/>
      <w:outlineLvl w:val="1"/>
    </w:pPr>
    <w:rPr>
      <w:b/>
      <w:i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50D39"/>
    <w:rPr>
      <w:rFonts w:ascii="Times New Roman" w:eastAsia="Times New Roman" w:hAnsi="Times New Roman" w:cs="Times New Roman"/>
      <w:b/>
      <w:iCs/>
      <w:sz w:val="28"/>
      <w:szCs w:val="24"/>
      <w:lang w:val="x-none" w:eastAsia="x-none"/>
    </w:rPr>
  </w:style>
  <w:style w:type="paragraph" w:styleId="BalloonText">
    <w:name w:val="Balloon Text"/>
    <w:basedOn w:val="Normal"/>
    <w:link w:val="BalloonTextChar"/>
    <w:uiPriority w:val="99"/>
    <w:semiHidden/>
    <w:unhideWhenUsed/>
    <w:rsid w:val="00E91D35"/>
    <w:rPr>
      <w:rFonts w:ascii="Tahoma" w:hAnsi="Tahoma" w:cs="Tahoma"/>
      <w:sz w:val="16"/>
      <w:szCs w:val="16"/>
    </w:rPr>
  </w:style>
  <w:style w:type="character" w:customStyle="1" w:styleId="BalloonTextChar">
    <w:name w:val="Balloon Text Char"/>
    <w:basedOn w:val="DefaultParagraphFont"/>
    <w:link w:val="BalloonText"/>
    <w:uiPriority w:val="99"/>
    <w:semiHidden/>
    <w:rsid w:val="00E91D3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465AF7-11F0-40E2-AADE-15FDA3B9C4D4}"/>
</file>

<file path=customXml/itemProps2.xml><?xml version="1.0" encoding="utf-8"?>
<ds:datastoreItem xmlns:ds="http://schemas.openxmlformats.org/officeDocument/2006/customXml" ds:itemID="{62022A05-A07C-4CA1-8B67-5FEDA79F4943}"/>
</file>

<file path=customXml/itemProps3.xml><?xml version="1.0" encoding="utf-8"?>
<ds:datastoreItem xmlns:ds="http://schemas.openxmlformats.org/officeDocument/2006/customXml" ds:itemID="{FF046841-0283-4F2A-8BAB-44EBB410156D}"/>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Nguyen Thuy Ha</cp:lastModifiedBy>
  <cp:revision>3</cp:revision>
  <cp:lastPrinted>2018-01-08T00:10:00Z</cp:lastPrinted>
  <dcterms:created xsi:type="dcterms:W3CDTF">2018-01-10T22:56:00Z</dcterms:created>
  <dcterms:modified xsi:type="dcterms:W3CDTF">2018-01-10T09:39:00Z</dcterms:modified>
</cp:coreProperties>
</file>